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E655" w14:textId="6C367883" w:rsidR="00D40B10" w:rsidRDefault="007012DC" w:rsidP="007012DC">
      <w:pPr>
        <w:jc w:val="center"/>
        <w:rPr>
          <w:color w:val="1F497D"/>
        </w:rPr>
      </w:pPr>
      <w:bookmarkStart w:id="0" w:name="_GoBack"/>
      <w:bookmarkEnd w:id="0"/>
      <w:r>
        <w:rPr>
          <w:noProof/>
          <w:color w:val="1F497D"/>
        </w:rPr>
        <w:drawing>
          <wp:inline distT="0" distB="0" distL="0" distR="0" wp14:anchorId="00BA2797" wp14:editId="01E47D88">
            <wp:extent cx="5943600" cy="82169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821690"/>
                    </a:xfrm>
                    <a:prstGeom prst="rect">
                      <a:avLst/>
                    </a:prstGeom>
                  </pic:spPr>
                </pic:pic>
              </a:graphicData>
            </a:graphic>
          </wp:inline>
        </w:drawing>
      </w:r>
    </w:p>
    <w:p w14:paraId="4A1DCB03" w14:textId="77777777" w:rsidR="00964C1D" w:rsidRDefault="00964C1D" w:rsidP="008368FB">
      <w:pPr>
        <w:rPr>
          <w:color w:val="17365D" w:themeColor="text2" w:themeShade="BF"/>
        </w:rPr>
      </w:pPr>
    </w:p>
    <w:p w14:paraId="0F65060E" w14:textId="77777777" w:rsidR="00964C1D" w:rsidRDefault="00964C1D" w:rsidP="008368FB">
      <w:pPr>
        <w:rPr>
          <w:color w:val="17365D" w:themeColor="text2" w:themeShade="BF"/>
        </w:rPr>
      </w:pPr>
    </w:p>
    <w:p w14:paraId="45A4301D" w14:textId="74021824" w:rsidR="008368FB" w:rsidRPr="00040ED4" w:rsidRDefault="008368FB" w:rsidP="008368FB">
      <w:pPr>
        <w:rPr>
          <w:color w:val="17365D" w:themeColor="text2" w:themeShade="BF"/>
        </w:rPr>
      </w:pPr>
      <w:r w:rsidRPr="00040ED4">
        <w:rPr>
          <w:color w:val="17365D" w:themeColor="text2" w:themeShade="BF"/>
        </w:rPr>
        <w:t>Dear Client,</w:t>
      </w:r>
    </w:p>
    <w:p w14:paraId="46D691BD" w14:textId="5C4EDA78" w:rsidR="008368FB" w:rsidRPr="00040ED4" w:rsidRDefault="008368FB" w:rsidP="008368FB">
      <w:pPr>
        <w:rPr>
          <w:color w:val="17365D" w:themeColor="text2" w:themeShade="BF"/>
        </w:rPr>
      </w:pPr>
      <w:r w:rsidRPr="00040ED4">
        <w:rPr>
          <w:color w:val="17365D" w:themeColor="text2" w:themeShade="BF"/>
        </w:rPr>
        <w:t> </w:t>
      </w:r>
    </w:p>
    <w:p w14:paraId="30A1EB42" w14:textId="09667802" w:rsidR="008368FB" w:rsidRPr="00040ED4" w:rsidRDefault="008368FB" w:rsidP="008368FB">
      <w:pPr>
        <w:rPr>
          <w:color w:val="17365D" w:themeColor="text2" w:themeShade="BF"/>
        </w:rPr>
      </w:pPr>
      <w:r w:rsidRPr="00040ED4">
        <w:rPr>
          <w:color w:val="17365D" w:themeColor="text2" w:themeShade="BF"/>
        </w:rPr>
        <w:t>Over the past days we have been focusing on the wellbeing of our team and clients. We understand you and your team may have questions regarding insurance coverage. Please see below for information and best practices with respect to COVID-19.</w:t>
      </w:r>
    </w:p>
    <w:p w14:paraId="602BDA76" w14:textId="304C72D0" w:rsidR="008368FB" w:rsidRPr="00040ED4" w:rsidRDefault="008368FB" w:rsidP="008368FB">
      <w:pPr>
        <w:rPr>
          <w:color w:val="17365D" w:themeColor="text2" w:themeShade="BF"/>
        </w:rPr>
      </w:pPr>
      <w:r w:rsidRPr="00040ED4">
        <w:rPr>
          <w:rFonts w:ascii="Arial" w:hAnsi="Arial" w:cs="Arial"/>
          <w:color w:val="17365D" w:themeColor="text2" w:themeShade="BF"/>
          <w:sz w:val="18"/>
          <w:szCs w:val="18"/>
        </w:rPr>
        <w:t>  </w:t>
      </w:r>
    </w:p>
    <w:p w14:paraId="0D68BB29" w14:textId="5BBB9B94" w:rsidR="008368FB" w:rsidRPr="00040ED4" w:rsidRDefault="008C0210" w:rsidP="008368FB">
      <w:pPr>
        <w:rPr>
          <w:color w:val="17365D" w:themeColor="text2" w:themeShade="BF"/>
        </w:rPr>
      </w:pPr>
      <w:r w:rsidRPr="00040ED4">
        <w:rPr>
          <w:b/>
          <w:bCs/>
          <w:color w:val="17365D" w:themeColor="text2" w:themeShade="BF"/>
        </w:rPr>
        <w:t>In regard to</w:t>
      </w:r>
      <w:r w:rsidR="008368FB" w:rsidRPr="00040ED4">
        <w:rPr>
          <w:b/>
          <w:bCs/>
          <w:color w:val="17365D" w:themeColor="text2" w:themeShade="BF"/>
        </w:rPr>
        <w:t xml:space="preserve"> Property Insurance (Business Interruption) </w:t>
      </w:r>
    </w:p>
    <w:p w14:paraId="1A984155" w14:textId="193F4616" w:rsidR="008368FB" w:rsidRPr="00040ED4" w:rsidRDefault="008368FB" w:rsidP="008368FB">
      <w:pPr>
        <w:rPr>
          <w:color w:val="17365D" w:themeColor="text2" w:themeShade="BF"/>
        </w:rPr>
      </w:pPr>
      <w:r w:rsidRPr="00040ED4">
        <w:rPr>
          <w:color w:val="17365D" w:themeColor="text2" w:themeShade="BF"/>
        </w:rPr>
        <w:t xml:space="preserve">From a property standpoint, business interruption is an extension of property insurance that covers physical loss or damage to insured property resulting from an insured peril.  Unfortunately, while COVID-19 represents an interruption in business, it is not as a result of loss or damage to property. Therefore, there does not appear to be any trigger to allow the property coverage to respond and thus, the business interruption coverage is unable to respond as well. The insurance industry is waiting on further clarification on this matter. </w:t>
      </w:r>
    </w:p>
    <w:p w14:paraId="5E0F2A5A" w14:textId="46681E83" w:rsidR="008368FB" w:rsidRPr="00040ED4" w:rsidRDefault="008368FB" w:rsidP="008368FB">
      <w:pPr>
        <w:rPr>
          <w:color w:val="17365D" w:themeColor="text2" w:themeShade="BF"/>
        </w:rPr>
      </w:pPr>
      <w:r w:rsidRPr="00040ED4">
        <w:rPr>
          <w:color w:val="17365D" w:themeColor="text2" w:themeShade="BF"/>
        </w:rPr>
        <w:t> </w:t>
      </w:r>
    </w:p>
    <w:p w14:paraId="06D89BAF" w14:textId="685A2967" w:rsidR="008368FB" w:rsidRPr="00040ED4" w:rsidRDefault="008368FB" w:rsidP="008368FB">
      <w:pPr>
        <w:rPr>
          <w:color w:val="17365D" w:themeColor="text2" w:themeShade="BF"/>
        </w:rPr>
      </w:pPr>
      <w:r w:rsidRPr="00040ED4">
        <w:rPr>
          <w:color w:val="17365D" w:themeColor="text2" w:themeShade="BF"/>
        </w:rPr>
        <w:t>Below is an article from the Insurance Bureau of Canada that describes the business interruption coverages in detail:</w:t>
      </w:r>
    </w:p>
    <w:p w14:paraId="3ED94C03" w14:textId="75F72505" w:rsidR="008368FB" w:rsidRPr="00474518" w:rsidRDefault="008368FB" w:rsidP="008368FB">
      <w:r w:rsidRPr="00474518">
        <w:rPr>
          <w:color w:val="1F497D"/>
        </w:rPr>
        <w:t> </w:t>
      </w:r>
    </w:p>
    <w:p w14:paraId="3145D4D9" w14:textId="5A007A53" w:rsidR="008368FB" w:rsidRPr="00474518" w:rsidRDefault="00FF11DD" w:rsidP="008368FB">
      <w:hyperlink r:id="rId9" w:history="1">
        <w:r w:rsidR="008368FB" w:rsidRPr="00474518">
          <w:rPr>
            <w:rStyle w:val="Hyperlink"/>
          </w:rPr>
          <w:t>http://www.ibc.ca/on/business/COVID-19</w:t>
        </w:r>
      </w:hyperlink>
    </w:p>
    <w:p w14:paraId="5F0366CA" w14:textId="43BB556A" w:rsidR="008368FB" w:rsidRPr="00474518" w:rsidRDefault="008368FB" w:rsidP="008368FB">
      <w:r w:rsidRPr="00474518">
        <w:rPr>
          <w:rFonts w:ascii="Times New Roman" w:hAnsi="Times New Roman" w:cs="Times New Roman"/>
          <w:color w:val="1F497D"/>
          <w:sz w:val="24"/>
          <w:szCs w:val="24"/>
        </w:rPr>
        <w:t> </w:t>
      </w:r>
    </w:p>
    <w:p w14:paraId="208B4B0C" w14:textId="4E18511A" w:rsidR="008368FB" w:rsidRPr="00040ED4" w:rsidRDefault="008368FB" w:rsidP="008368FB">
      <w:pPr>
        <w:rPr>
          <w:color w:val="17365D" w:themeColor="text2" w:themeShade="BF"/>
        </w:rPr>
      </w:pPr>
      <w:r w:rsidRPr="00040ED4">
        <w:rPr>
          <w:b/>
          <w:bCs/>
          <w:color w:val="17365D" w:themeColor="text2" w:themeShade="BF"/>
        </w:rPr>
        <w:t>Will my general liability policy respond to COVID-19?</w:t>
      </w:r>
    </w:p>
    <w:p w14:paraId="6F7DC41C" w14:textId="195AF693" w:rsidR="008368FB" w:rsidRPr="00040ED4" w:rsidRDefault="008368FB" w:rsidP="008368FB">
      <w:pPr>
        <w:rPr>
          <w:color w:val="17365D" w:themeColor="text2" w:themeShade="BF"/>
        </w:rPr>
      </w:pPr>
      <w:r w:rsidRPr="00040ED4">
        <w:rPr>
          <w:color w:val="17365D" w:themeColor="text2" w:themeShade="BF"/>
        </w:rPr>
        <w:t>General liability policies may respond to pandemic events if a business/organization has been negligent in, or found to be liable for, failing to protect people/third parties from infection where it is considered that they have a duty.</w:t>
      </w:r>
    </w:p>
    <w:p w14:paraId="46D9566A" w14:textId="3A6F0404" w:rsidR="008368FB" w:rsidRPr="00040ED4" w:rsidRDefault="008368FB" w:rsidP="008368FB">
      <w:pPr>
        <w:rPr>
          <w:color w:val="17365D" w:themeColor="text2" w:themeShade="BF"/>
        </w:rPr>
      </w:pPr>
      <w:r w:rsidRPr="00040ED4">
        <w:rPr>
          <w:rFonts w:ascii="Times New Roman" w:hAnsi="Times New Roman" w:cs="Times New Roman"/>
          <w:color w:val="17365D" w:themeColor="text2" w:themeShade="BF"/>
          <w:sz w:val="24"/>
          <w:szCs w:val="24"/>
        </w:rPr>
        <w:t> </w:t>
      </w:r>
    </w:p>
    <w:p w14:paraId="1AD4FE3F" w14:textId="42F5BDD7" w:rsidR="008368FB" w:rsidRPr="00040ED4" w:rsidRDefault="008368FB" w:rsidP="008368FB">
      <w:pPr>
        <w:rPr>
          <w:color w:val="17365D" w:themeColor="text2" w:themeShade="BF"/>
        </w:rPr>
      </w:pPr>
      <w:r w:rsidRPr="00040ED4">
        <w:rPr>
          <w:color w:val="17365D" w:themeColor="text2" w:themeShade="BF"/>
        </w:rPr>
        <w:t xml:space="preserve">Therefore, businesses should act in a reasonable manner to protect or safeguard clients/third parties. Please adhere to guidelines set out by governing bodies, real estate associations, and civil authorities. </w:t>
      </w:r>
    </w:p>
    <w:p w14:paraId="782A7347" w14:textId="7EB403B3" w:rsidR="008368FB" w:rsidRPr="00040ED4" w:rsidRDefault="008368FB" w:rsidP="008368FB">
      <w:pPr>
        <w:rPr>
          <w:color w:val="17365D" w:themeColor="text2" w:themeShade="BF"/>
        </w:rPr>
      </w:pPr>
      <w:r w:rsidRPr="00040ED4">
        <w:rPr>
          <w:color w:val="17365D" w:themeColor="text2" w:themeShade="BF"/>
        </w:rPr>
        <w:t> </w:t>
      </w:r>
    </w:p>
    <w:p w14:paraId="0F955412" w14:textId="0739D33F" w:rsidR="008368FB" w:rsidRPr="00040ED4" w:rsidRDefault="008368FB" w:rsidP="008368FB">
      <w:pPr>
        <w:rPr>
          <w:color w:val="17365D" w:themeColor="text2" w:themeShade="BF"/>
        </w:rPr>
      </w:pPr>
      <w:r w:rsidRPr="00040ED4">
        <w:rPr>
          <w:color w:val="17365D" w:themeColor="text2" w:themeShade="BF"/>
        </w:rPr>
        <w:t xml:space="preserve">The </w:t>
      </w:r>
      <w:proofErr w:type="spellStart"/>
      <w:r w:rsidRPr="00040ED4">
        <w:rPr>
          <w:color w:val="17365D" w:themeColor="text2" w:themeShade="BF"/>
        </w:rPr>
        <w:t>RealProSure</w:t>
      </w:r>
      <w:proofErr w:type="spellEnd"/>
      <w:r w:rsidRPr="00040ED4">
        <w:rPr>
          <w:color w:val="17365D" w:themeColor="text2" w:themeShade="BF"/>
        </w:rPr>
        <w:t xml:space="preserve"> program defines bodily injury as follows: </w:t>
      </w:r>
    </w:p>
    <w:p w14:paraId="6EC6F1F4" w14:textId="5CF41FA3" w:rsidR="008368FB" w:rsidRPr="00474518" w:rsidRDefault="008368FB" w:rsidP="008368FB">
      <w:r w:rsidRPr="00474518">
        <w:rPr>
          <w:color w:val="1F497D"/>
        </w:rPr>
        <w:t> </w:t>
      </w:r>
    </w:p>
    <w:p w14:paraId="613D1F6A" w14:textId="6971E115" w:rsidR="008368FB" w:rsidRPr="00D40B10" w:rsidRDefault="008368FB" w:rsidP="001345FB">
      <w:pPr>
        <w:ind w:left="720"/>
        <w:rPr>
          <w:rFonts w:asciiTheme="minorHAnsi" w:hAnsiTheme="minorHAnsi" w:cstheme="minorHAnsi"/>
        </w:rPr>
      </w:pPr>
      <w:r w:rsidRPr="00D40B10">
        <w:rPr>
          <w:rFonts w:asciiTheme="minorHAnsi" w:hAnsiTheme="minorHAnsi" w:cstheme="minorHAnsi"/>
          <w:b/>
          <w:bCs/>
        </w:rPr>
        <w:t xml:space="preserve">Bodily injury </w:t>
      </w:r>
      <w:r w:rsidRPr="00D40B10">
        <w:rPr>
          <w:rFonts w:asciiTheme="minorHAnsi" w:hAnsiTheme="minorHAnsi" w:cstheme="minorHAnsi"/>
        </w:rPr>
        <w:t>means bodily or mental injury, sickness, disease, disability or shock sustained by a person, including death resulting at any time.</w:t>
      </w:r>
    </w:p>
    <w:p w14:paraId="00EB166E" w14:textId="438EA45D" w:rsidR="008368FB" w:rsidRPr="00040ED4" w:rsidRDefault="008368FB" w:rsidP="008368FB">
      <w:pPr>
        <w:rPr>
          <w:color w:val="17365D" w:themeColor="text2" w:themeShade="BF"/>
        </w:rPr>
      </w:pPr>
      <w:r w:rsidRPr="00040ED4">
        <w:rPr>
          <w:rFonts w:ascii="Times New Roman" w:hAnsi="Times New Roman" w:cs="Times New Roman"/>
          <w:color w:val="17365D" w:themeColor="text2" w:themeShade="BF"/>
          <w:sz w:val="24"/>
          <w:szCs w:val="24"/>
        </w:rPr>
        <w:t> </w:t>
      </w:r>
    </w:p>
    <w:p w14:paraId="55C8232C" w14:textId="0AA60F7F" w:rsidR="008368FB" w:rsidRPr="00040ED4" w:rsidRDefault="008368FB" w:rsidP="008368FB">
      <w:pPr>
        <w:rPr>
          <w:color w:val="17365D" w:themeColor="text2" w:themeShade="BF"/>
        </w:rPr>
      </w:pPr>
      <w:r w:rsidRPr="00040ED4">
        <w:rPr>
          <w:color w:val="17365D" w:themeColor="text2" w:themeShade="BF"/>
        </w:rPr>
        <w:t>However, please be aware of the following exclusion:</w:t>
      </w:r>
    </w:p>
    <w:p w14:paraId="79FA2513" w14:textId="6D5BB57F" w:rsidR="008368FB" w:rsidRPr="00040ED4" w:rsidRDefault="008368FB" w:rsidP="008368FB">
      <w:pPr>
        <w:rPr>
          <w:color w:val="17365D" w:themeColor="text2" w:themeShade="BF"/>
        </w:rPr>
      </w:pPr>
      <w:r w:rsidRPr="00040ED4">
        <w:rPr>
          <w:color w:val="17365D" w:themeColor="text2" w:themeShade="BF"/>
        </w:rPr>
        <w:t> </w:t>
      </w:r>
    </w:p>
    <w:p w14:paraId="0C6D4A42" w14:textId="47123C54" w:rsidR="008368FB" w:rsidRPr="00D40B10" w:rsidRDefault="008368FB" w:rsidP="001345FB">
      <w:pPr>
        <w:autoSpaceDE w:val="0"/>
        <w:autoSpaceDN w:val="0"/>
        <w:ind w:left="720"/>
        <w:rPr>
          <w:rFonts w:asciiTheme="minorHAnsi" w:hAnsiTheme="minorHAnsi" w:cstheme="minorHAnsi"/>
        </w:rPr>
      </w:pPr>
      <w:r w:rsidRPr="00D40B10">
        <w:rPr>
          <w:rFonts w:asciiTheme="minorHAnsi" w:hAnsiTheme="minorHAnsi" w:cstheme="minorHAnsi"/>
          <w:b/>
          <w:bCs/>
        </w:rPr>
        <w:t>EXCLUSIONS</w:t>
      </w:r>
    </w:p>
    <w:p w14:paraId="57C67F4C" w14:textId="5A5F410F" w:rsidR="008368FB" w:rsidRPr="00D40B10" w:rsidRDefault="008368FB" w:rsidP="001345FB">
      <w:pPr>
        <w:autoSpaceDE w:val="0"/>
        <w:autoSpaceDN w:val="0"/>
        <w:ind w:left="720"/>
        <w:rPr>
          <w:rFonts w:asciiTheme="minorHAnsi" w:hAnsiTheme="minorHAnsi" w:cstheme="minorHAnsi"/>
        </w:rPr>
      </w:pPr>
      <w:r w:rsidRPr="00D40B10">
        <w:rPr>
          <w:rFonts w:asciiTheme="minorHAnsi" w:hAnsiTheme="minorHAnsi" w:cstheme="minorHAnsi"/>
          <w:b/>
          <w:bCs/>
        </w:rPr>
        <w:t>This insurance does not apply to:</w:t>
      </w:r>
    </w:p>
    <w:p w14:paraId="750E5EB9" w14:textId="5743B8C3" w:rsidR="008368FB" w:rsidRPr="00D40B10" w:rsidRDefault="008368FB" w:rsidP="001345FB">
      <w:pPr>
        <w:autoSpaceDE w:val="0"/>
        <w:autoSpaceDN w:val="0"/>
        <w:ind w:left="720"/>
        <w:rPr>
          <w:rFonts w:asciiTheme="minorHAnsi" w:hAnsiTheme="minorHAnsi" w:cstheme="minorHAnsi"/>
        </w:rPr>
      </w:pPr>
      <w:r w:rsidRPr="00D40B10">
        <w:rPr>
          <w:rFonts w:asciiTheme="minorHAnsi" w:hAnsiTheme="minorHAnsi" w:cstheme="minorHAnsi"/>
        </w:rPr>
        <w:t xml:space="preserve">2.1. </w:t>
      </w:r>
      <w:r w:rsidRPr="00D40B10">
        <w:rPr>
          <w:rFonts w:asciiTheme="minorHAnsi" w:hAnsiTheme="minorHAnsi" w:cstheme="minorHAnsi"/>
          <w:b/>
          <w:bCs/>
          <w:u w:val="single"/>
        </w:rPr>
        <w:t>Expected or Intended Injury or Damage</w:t>
      </w:r>
    </w:p>
    <w:p w14:paraId="57494491" w14:textId="77777777" w:rsidR="001345FB" w:rsidRDefault="008368FB" w:rsidP="008368FB">
      <w:pPr>
        <w:rPr>
          <w:rFonts w:asciiTheme="minorHAnsi" w:hAnsiTheme="minorHAnsi" w:cstheme="minorHAnsi"/>
          <w:color w:val="1F497D"/>
        </w:rPr>
      </w:pPr>
      <w:r w:rsidRPr="00D40B10">
        <w:rPr>
          <w:rFonts w:asciiTheme="minorHAnsi" w:hAnsiTheme="minorHAnsi" w:cstheme="minorHAnsi"/>
          <w:color w:val="1F497D"/>
        </w:rPr>
        <w:t> </w:t>
      </w:r>
    </w:p>
    <w:p w14:paraId="3986FB55" w14:textId="77777777" w:rsidR="009634E1" w:rsidRDefault="009634E1" w:rsidP="008368FB">
      <w:pPr>
        <w:rPr>
          <w:b/>
          <w:color w:val="17365D" w:themeColor="text2" w:themeShade="BF"/>
        </w:rPr>
      </w:pPr>
    </w:p>
    <w:p w14:paraId="540557EA" w14:textId="77777777" w:rsidR="009634E1" w:rsidRDefault="009634E1" w:rsidP="008368FB">
      <w:pPr>
        <w:rPr>
          <w:b/>
          <w:color w:val="17365D" w:themeColor="text2" w:themeShade="BF"/>
        </w:rPr>
      </w:pPr>
    </w:p>
    <w:p w14:paraId="6DF98241" w14:textId="77777777" w:rsidR="009634E1" w:rsidRDefault="009634E1" w:rsidP="008368FB">
      <w:pPr>
        <w:rPr>
          <w:b/>
          <w:color w:val="17365D" w:themeColor="text2" w:themeShade="BF"/>
        </w:rPr>
      </w:pPr>
    </w:p>
    <w:p w14:paraId="5EAE5B0D" w14:textId="77777777" w:rsidR="009634E1" w:rsidRDefault="009634E1" w:rsidP="008368FB">
      <w:pPr>
        <w:rPr>
          <w:b/>
          <w:color w:val="17365D" w:themeColor="text2" w:themeShade="BF"/>
        </w:rPr>
      </w:pPr>
    </w:p>
    <w:p w14:paraId="71BFA10D" w14:textId="381B52E3" w:rsidR="008368FB" w:rsidRPr="00040ED4" w:rsidRDefault="008368FB" w:rsidP="008368FB">
      <w:pPr>
        <w:rPr>
          <w:b/>
          <w:color w:val="17365D" w:themeColor="text2" w:themeShade="BF"/>
        </w:rPr>
      </w:pPr>
      <w:r w:rsidRPr="00040ED4">
        <w:rPr>
          <w:b/>
          <w:color w:val="17365D" w:themeColor="text2" w:themeShade="BF"/>
        </w:rPr>
        <w:t>General Recommendations</w:t>
      </w:r>
    </w:p>
    <w:p w14:paraId="5F9261FD" w14:textId="720AB237" w:rsidR="008368FB" w:rsidRPr="00040ED4" w:rsidRDefault="008368FB" w:rsidP="008368FB">
      <w:pPr>
        <w:rPr>
          <w:color w:val="17365D" w:themeColor="text2" w:themeShade="BF"/>
        </w:rPr>
      </w:pPr>
      <w:r w:rsidRPr="00040ED4">
        <w:rPr>
          <w:color w:val="17365D" w:themeColor="text2" w:themeShade="BF"/>
        </w:rPr>
        <w:t>We wanted to provide our clients with some best practices during this situation:</w:t>
      </w:r>
    </w:p>
    <w:p w14:paraId="0DC600E7" w14:textId="5A8F1862" w:rsidR="008368FB"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 xml:space="preserve">Follow all recommendations set by governing bodies, real estate associations, and civil authorities. </w:t>
      </w:r>
    </w:p>
    <w:p w14:paraId="001D572B" w14:textId="2D53A9F6" w:rsidR="008368FB" w:rsidRPr="00AC1A97" w:rsidRDefault="00AC1A97" w:rsidP="00AC1A97">
      <w:pPr>
        <w:pStyle w:val="Default"/>
        <w:numPr>
          <w:ilvl w:val="0"/>
          <w:numId w:val="1"/>
        </w:numPr>
        <w:rPr>
          <w:sz w:val="22"/>
          <w:szCs w:val="22"/>
        </w:rPr>
      </w:pPr>
      <w:r>
        <w:rPr>
          <w:color w:val="1F487C"/>
          <w:sz w:val="22"/>
          <w:szCs w:val="22"/>
        </w:rPr>
        <w:t xml:space="preserve">Delay entry to properties after possession: Properties should remain vacant for a minimum of 4 days (or longer) ideally, to reduce the likelihood of virus transmission. </w:t>
      </w:r>
      <w:r w:rsidR="008368FB" w:rsidRPr="00AC1A97">
        <w:rPr>
          <w:rFonts w:eastAsia="Times New Roman"/>
          <w:color w:val="17365D" w:themeColor="text2" w:themeShade="BF"/>
        </w:rPr>
        <w:t xml:space="preserve"> </w:t>
      </w:r>
    </w:p>
    <w:p w14:paraId="00A5B769" w14:textId="2100C2BA" w:rsidR="008368FB"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 xml:space="preserve">Signage at properties – Advising people not to enter a property if they have been exposed or are suffering symptoms. </w:t>
      </w:r>
    </w:p>
    <w:p w14:paraId="7079DFC1" w14:textId="1B536039" w:rsidR="008368FB"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 xml:space="preserve">Avoid face-to-face meetings at all costs. Use videoconference tools when possible. </w:t>
      </w:r>
    </w:p>
    <w:p w14:paraId="0E89E890" w14:textId="2FC650B3" w:rsidR="008368FB"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Avoid open houses and large gatherings.</w:t>
      </w:r>
    </w:p>
    <w:p w14:paraId="5BAB9555" w14:textId="7DAB7371" w:rsidR="008368FB"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Avoid in person meetings showings</w:t>
      </w:r>
      <w:r w:rsidR="00040ED4" w:rsidRPr="00040ED4">
        <w:rPr>
          <w:rFonts w:eastAsia="Times New Roman"/>
          <w:color w:val="17365D" w:themeColor="text2" w:themeShade="BF"/>
        </w:rPr>
        <w:t>.</w:t>
      </w:r>
    </w:p>
    <w:p w14:paraId="608CC07C" w14:textId="788D4D9D" w:rsidR="008368FB"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Frequently wash your hands.</w:t>
      </w:r>
    </w:p>
    <w:p w14:paraId="12C13063" w14:textId="0626B6CE" w:rsidR="008368FB"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 xml:space="preserve">Open Communications: Formulate a COVID-19 </w:t>
      </w:r>
      <w:r w:rsidR="00D40B10" w:rsidRPr="00040ED4">
        <w:rPr>
          <w:rFonts w:eastAsia="Times New Roman"/>
          <w:color w:val="17365D" w:themeColor="text2" w:themeShade="BF"/>
        </w:rPr>
        <w:t>Agent/Firm</w:t>
      </w:r>
      <w:r w:rsidRPr="00040ED4">
        <w:rPr>
          <w:rFonts w:eastAsia="Times New Roman"/>
          <w:color w:val="17365D" w:themeColor="text2" w:themeShade="BF"/>
        </w:rPr>
        <w:t xml:space="preserve"> position and contingency plan for operations.</w:t>
      </w:r>
    </w:p>
    <w:p w14:paraId="5A998F1E" w14:textId="77777777" w:rsidR="008C0210" w:rsidRPr="00040ED4" w:rsidRDefault="008368FB" w:rsidP="008368FB">
      <w:pPr>
        <w:numPr>
          <w:ilvl w:val="0"/>
          <w:numId w:val="1"/>
        </w:numPr>
        <w:rPr>
          <w:rFonts w:eastAsia="Times New Roman"/>
          <w:color w:val="17365D" w:themeColor="text2" w:themeShade="BF"/>
        </w:rPr>
      </w:pPr>
      <w:r w:rsidRPr="00040ED4">
        <w:rPr>
          <w:rFonts w:eastAsia="Times New Roman"/>
          <w:color w:val="17365D" w:themeColor="text2" w:themeShade="BF"/>
        </w:rPr>
        <w:t>Be cautious: As the professional in the transaction, remember that it’s okay to be extra cautious given the current situation.</w:t>
      </w:r>
    </w:p>
    <w:p w14:paraId="186A098E" w14:textId="38B388F2" w:rsidR="008368FB" w:rsidRPr="00040ED4" w:rsidRDefault="008368FB" w:rsidP="001345FB">
      <w:pPr>
        <w:ind w:left="720"/>
        <w:rPr>
          <w:rFonts w:eastAsia="Times New Roman"/>
          <w:color w:val="17365D" w:themeColor="text2" w:themeShade="BF"/>
        </w:rPr>
      </w:pPr>
      <w:r w:rsidRPr="00040ED4">
        <w:rPr>
          <w:rFonts w:eastAsia="Times New Roman"/>
          <w:color w:val="17365D" w:themeColor="text2" w:themeShade="BF"/>
        </w:rPr>
        <w:t xml:space="preserve"> </w:t>
      </w:r>
    </w:p>
    <w:p w14:paraId="2CAB063E" w14:textId="77777777" w:rsidR="009634E1" w:rsidRDefault="009634E1" w:rsidP="00853C70">
      <w:pPr>
        <w:rPr>
          <w:b/>
          <w:color w:val="17365D" w:themeColor="text2" w:themeShade="BF"/>
        </w:rPr>
      </w:pPr>
    </w:p>
    <w:p w14:paraId="2BB0A799" w14:textId="433D95DD" w:rsidR="00853C70" w:rsidRPr="00040ED4" w:rsidRDefault="008368FB" w:rsidP="00853C70">
      <w:pPr>
        <w:rPr>
          <w:color w:val="17365D" w:themeColor="text2" w:themeShade="BF"/>
        </w:rPr>
      </w:pPr>
      <w:r w:rsidRPr="00040ED4">
        <w:rPr>
          <w:color w:val="17365D" w:themeColor="text2" w:themeShade="BF"/>
        </w:rPr>
        <w:t xml:space="preserve">*Please note that these instructions for best practices may change based on updates from provincial/federal government and/or public health authorities. </w:t>
      </w:r>
      <w:r w:rsidR="00853C70" w:rsidRPr="00040ED4">
        <w:rPr>
          <w:color w:val="17365D" w:themeColor="text2" w:themeShade="BF"/>
        </w:rPr>
        <w:t xml:space="preserve">Please be sure to keep up to date on </w:t>
      </w:r>
      <w:r w:rsidR="008C0210" w:rsidRPr="00040ED4">
        <w:rPr>
          <w:color w:val="17365D" w:themeColor="text2" w:themeShade="BF"/>
        </w:rPr>
        <w:t>rapidly changing</w:t>
      </w:r>
      <w:r w:rsidR="00853C70" w:rsidRPr="00040ED4">
        <w:rPr>
          <w:color w:val="17365D" w:themeColor="text2" w:themeShade="BF"/>
        </w:rPr>
        <w:t xml:space="preserve"> information during the pandemic.</w:t>
      </w:r>
    </w:p>
    <w:p w14:paraId="331A6D8D" w14:textId="7EB03FE4" w:rsidR="008368FB" w:rsidRPr="00040ED4" w:rsidRDefault="008368FB" w:rsidP="008368FB">
      <w:pPr>
        <w:rPr>
          <w:color w:val="17365D" w:themeColor="text2" w:themeShade="BF"/>
        </w:rPr>
      </w:pPr>
    </w:p>
    <w:p w14:paraId="17E99351" w14:textId="5505B461" w:rsidR="00853C70" w:rsidRPr="00040ED4" w:rsidRDefault="008368FB" w:rsidP="00853C70">
      <w:pPr>
        <w:rPr>
          <w:color w:val="17365D" w:themeColor="text2" w:themeShade="BF"/>
        </w:rPr>
      </w:pPr>
      <w:r w:rsidRPr="00040ED4">
        <w:rPr>
          <w:color w:val="17365D" w:themeColor="text2" w:themeShade="BF"/>
        </w:rPr>
        <w:t> </w:t>
      </w:r>
      <w:r w:rsidR="00853C70" w:rsidRPr="00040ED4">
        <w:rPr>
          <w:color w:val="17365D" w:themeColor="text2" w:themeShade="BF"/>
        </w:rPr>
        <w:t xml:space="preserve">**Please also note that Tool Peet Insurance is currently experiencing a higher-than-normal volume of calls and emails. We appreciate your patience as we work through this. </w:t>
      </w:r>
    </w:p>
    <w:p w14:paraId="76C53CC6" w14:textId="77777777" w:rsidR="008368FB" w:rsidRPr="00040ED4" w:rsidRDefault="008368FB" w:rsidP="008368FB">
      <w:pPr>
        <w:pStyle w:val="PlainText"/>
        <w:rPr>
          <w:color w:val="17365D" w:themeColor="text2" w:themeShade="BF"/>
        </w:rPr>
      </w:pPr>
    </w:p>
    <w:p w14:paraId="07B97A89" w14:textId="7ED618DF" w:rsidR="008368FB" w:rsidRPr="00474518" w:rsidRDefault="008368FB" w:rsidP="008368FB">
      <w:r w:rsidRPr="00474518">
        <w:rPr>
          <w:color w:val="1F497D"/>
        </w:rPr>
        <w:t> </w:t>
      </w:r>
    </w:p>
    <w:p w14:paraId="719E7DF5" w14:textId="5820087B" w:rsidR="008368FB" w:rsidRPr="00474518" w:rsidRDefault="007012DC" w:rsidP="008368FB">
      <w:r w:rsidRPr="007012DC">
        <w:rPr>
          <w:noProof/>
          <w:color w:val="1F497D"/>
        </w:rPr>
        <mc:AlternateContent>
          <mc:Choice Requires="wps">
            <w:drawing>
              <wp:anchor distT="45720" distB="45720" distL="114300" distR="114300" simplePos="0" relativeHeight="251659264" behindDoc="0" locked="0" layoutInCell="1" allowOverlap="1" wp14:anchorId="72A775E7" wp14:editId="228746E6">
                <wp:simplePos x="0" y="0"/>
                <wp:positionH relativeFrom="column">
                  <wp:posOffset>2979420</wp:posOffset>
                </wp:positionH>
                <wp:positionV relativeFrom="paragraph">
                  <wp:posOffset>14605</wp:posOffset>
                </wp:positionV>
                <wp:extent cx="2811780" cy="1404620"/>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4620"/>
                        </a:xfrm>
                        <a:prstGeom prst="rect">
                          <a:avLst/>
                        </a:prstGeom>
                        <a:solidFill>
                          <a:srgbClr val="FFFFFF"/>
                        </a:solidFill>
                        <a:ln w="9525">
                          <a:solidFill>
                            <a:srgbClr val="000000"/>
                          </a:solidFill>
                          <a:miter lim="800000"/>
                          <a:headEnd/>
                          <a:tailEnd/>
                        </a:ln>
                      </wps:spPr>
                      <wps:txbx>
                        <w:txbxContent>
                          <w:p w14:paraId="1635020C" w14:textId="5CF8C23E" w:rsidR="007012DC" w:rsidRDefault="007012DC"/>
                          <w:tbl>
                            <w:tblPr>
                              <w:tblW w:w="0" w:type="auto"/>
                              <w:tblCellMar>
                                <w:left w:w="0" w:type="dxa"/>
                                <w:right w:w="0" w:type="dxa"/>
                              </w:tblCellMar>
                              <w:tblLook w:val="04A0" w:firstRow="1" w:lastRow="0" w:firstColumn="1" w:lastColumn="0" w:noHBand="0" w:noVBand="1"/>
                            </w:tblPr>
                            <w:tblGrid>
                              <w:gridCol w:w="234"/>
                              <w:gridCol w:w="1540"/>
                              <w:gridCol w:w="2347"/>
                            </w:tblGrid>
                            <w:tr w:rsidR="007012DC" w:rsidRPr="00474518" w14:paraId="5A687612" w14:textId="77777777" w:rsidTr="003511D7">
                              <w:tc>
                                <w:tcPr>
                                  <w:tcW w:w="0" w:type="auto"/>
                                  <w:tcBorders>
                                    <w:top w:val="single" w:sz="8" w:space="0" w:color="FFFFFF"/>
                                    <w:left w:val="single" w:sz="8" w:space="0" w:color="FFFFFF"/>
                                    <w:bottom w:val="single" w:sz="8" w:space="0" w:color="FFFFFF"/>
                                    <w:right w:val="single" w:sz="8" w:space="0" w:color="FFFFFF"/>
                                  </w:tcBorders>
                                  <w:hideMark/>
                                </w:tcPr>
                                <w:p w14:paraId="0A9C3172" w14:textId="77777777" w:rsidR="007012DC" w:rsidRPr="00474518" w:rsidRDefault="007012DC" w:rsidP="007012DC">
                                  <w:r w:rsidRPr="00474518">
                                    <w:rPr>
                                      <w:rFonts w:ascii="Verdana" w:hAnsi="Verdana"/>
                                      <w:b/>
                                      <w:bCs/>
                                      <w:color w:val="A5CE4D"/>
                                      <w:sz w:val="16"/>
                                      <w:szCs w:val="16"/>
                                    </w:rPr>
                                    <w:t>TF</w:t>
                                  </w:r>
                                </w:p>
                              </w:tc>
                              <w:tc>
                                <w:tcPr>
                                  <w:tcW w:w="162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14:paraId="2521A6E7" w14:textId="77777777" w:rsidR="007012DC" w:rsidRPr="00474518" w:rsidRDefault="007012DC" w:rsidP="007012DC">
                                  <w:r w:rsidRPr="00474518">
                                    <w:rPr>
                                      <w:rFonts w:ascii="Verdana" w:hAnsi="Verdana"/>
                                      <w:sz w:val="16"/>
                                      <w:szCs w:val="16"/>
                                    </w:rPr>
                                    <w:t>1.888.838.6653</w:t>
                                  </w:r>
                                </w:p>
                              </w:tc>
                              <w:tc>
                                <w:tcPr>
                                  <w:tcW w:w="243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14:paraId="170CA025" w14:textId="77777777" w:rsidR="007012DC" w:rsidRPr="00474518" w:rsidRDefault="00FF11DD" w:rsidP="007012DC">
                                  <w:hyperlink r:id="rId10" w:history="1">
                                    <w:r w:rsidR="007012DC" w:rsidRPr="00474518">
                                      <w:rPr>
                                        <w:rStyle w:val="Hyperlink"/>
                                        <w:rFonts w:ascii="Verdana" w:hAnsi="Verdana"/>
                                        <w:sz w:val="16"/>
                                        <w:szCs w:val="16"/>
                                      </w:rPr>
                                      <w:t>athomson@toolepeet.com</w:t>
                                    </w:r>
                                  </w:hyperlink>
                                </w:p>
                              </w:tc>
                            </w:tr>
                            <w:tr w:rsidR="007012DC" w:rsidRPr="00474518" w14:paraId="48C40E50" w14:textId="77777777" w:rsidTr="003511D7">
                              <w:tc>
                                <w:tcPr>
                                  <w:tcW w:w="0" w:type="auto"/>
                                  <w:tcBorders>
                                    <w:top w:val="nil"/>
                                    <w:left w:val="single" w:sz="8" w:space="0" w:color="FFFFFF"/>
                                    <w:bottom w:val="single" w:sz="8" w:space="0" w:color="FFFFFF"/>
                                    <w:right w:val="single" w:sz="8" w:space="0" w:color="FFFFFF"/>
                                  </w:tcBorders>
                                  <w:hideMark/>
                                </w:tcPr>
                                <w:p w14:paraId="74866714" w14:textId="77777777" w:rsidR="007012DC" w:rsidRPr="00474518" w:rsidRDefault="007012DC" w:rsidP="007012DC">
                                  <w:r w:rsidRPr="00474518">
                                    <w:rPr>
                                      <w:rFonts w:ascii="Verdana" w:hAnsi="Verdana"/>
                                      <w:b/>
                                      <w:bCs/>
                                      <w:color w:val="A5CE4D"/>
                                      <w:sz w:val="16"/>
                                      <w:szCs w:val="16"/>
                                    </w:rPr>
                                    <w:t>T</w:t>
                                  </w:r>
                                </w:p>
                              </w:tc>
                              <w:tc>
                                <w:tcPr>
                                  <w:tcW w:w="1620" w:type="dxa"/>
                                  <w:tcBorders>
                                    <w:top w:val="nil"/>
                                    <w:left w:val="nil"/>
                                    <w:bottom w:val="single" w:sz="8" w:space="0" w:color="FFFFFF"/>
                                    <w:right w:val="single" w:sz="8" w:space="0" w:color="FFFFFF"/>
                                  </w:tcBorders>
                                  <w:tcMar>
                                    <w:top w:w="0" w:type="dxa"/>
                                    <w:left w:w="108" w:type="dxa"/>
                                    <w:bottom w:w="0" w:type="dxa"/>
                                    <w:right w:w="108" w:type="dxa"/>
                                  </w:tcMar>
                                  <w:hideMark/>
                                </w:tcPr>
                                <w:p w14:paraId="632D6299" w14:textId="77777777" w:rsidR="007012DC" w:rsidRPr="00474518" w:rsidRDefault="007012DC" w:rsidP="007012DC">
                                  <w:r w:rsidRPr="00474518">
                                    <w:rPr>
                                      <w:rFonts w:ascii="Verdana" w:hAnsi="Verdana"/>
                                      <w:sz w:val="16"/>
                                      <w:szCs w:val="16"/>
                                    </w:rPr>
                                    <w:t>403.209.5447</w:t>
                                  </w:r>
                                </w:p>
                              </w:tc>
                              <w:tc>
                                <w:tcPr>
                                  <w:tcW w:w="2430" w:type="dxa"/>
                                  <w:tcBorders>
                                    <w:top w:val="nil"/>
                                    <w:left w:val="nil"/>
                                    <w:bottom w:val="single" w:sz="8" w:space="0" w:color="FFFFFF"/>
                                    <w:right w:val="single" w:sz="8" w:space="0" w:color="FFFFFF"/>
                                  </w:tcBorders>
                                  <w:tcMar>
                                    <w:top w:w="0" w:type="dxa"/>
                                    <w:left w:w="108" w:type="dxa"/>
                                    <w:bottom w:w="0" w:type="dxa"/>
                                    <w:right w:w="108" w:type="dxa"/>
                                  </w:tcMar>
                                  <w:hideMark/>
                                </w:tcPr>
                                <w:p w14:paraId="5F2C7CFE" w14:textId="77777777" w:rsidR="007012DC" w:rsidRPr="00474518" w:rsidRDefault="007012DC" w:rsidP="007012DC">
                                  <w:r w:rsidRPr="00474518">
                                    <w:rPr>
                                      <w:rFonts w:ascii="Verdana" w:hAnsi="Verdana"/>
                                      <w:sz w:val="16"/>
                                      <w:szCs w:val="16"/>
                                    </w:rPr>
                                    <w:t>1135 - 17 Avenue S.W.</w:t>
                                  </w:r>
                                </w:p>
                              </w:tc>
                            </w:tr>
                            <w:tr w:rsidR="007012DC" w:rsidRPr="00474518" w14:paraId="4765A3A2" w14:textId="77777777" w:rsidTr="003511D7">
                              <w:trPr>
                                <w:trHeight w:val="80"/>
                              </w:trPr>
                              <w:tc>
                                <w:tcPr>
                                  <w:tcW w:w="0" w:type="auto"/>
                                  <w:tcBorders>
                                    <w:top w:val="nil"/>
                                    <w:left w:val="single" w:sz="8" w:space="0" w:color="FFFFFF"/>
                                    <w:bottom w:val="single" w:sz="8" w:space="0" w:color="FFFFFF"/>
                                    <w:right w:val="single" w:sz="8" w:space="0" w:color="FFFFFF"/>
                                  </w:tcBorders>
                                  <w:hideMark/>
                                </w:tcPr>
                                <w:p w14:paraId="2465FE70" w14:textId="77777777" w:rsidR="007012DC" w:rsidRPr="00474518" w:rsidRDefault="007012DC" w:rsidP="007012DC">
                                  <w:pPr>
                                    <w:spacing w:line="80" w:lineRule="atLeast"/>
                                  </w:pPr>
                                  <w:r w:rsidRPr="00474518">
                                    <w:rPr>
                                      <w:rFonts w:ascii="Verdana" w:hAnsi="Verdana"/>
                                      <w:b/>
                                      <w:bCs/>
                                      <w:color w:val="A5CE4D"/>
                                      <w:sz w:val="16"/>
                                      <w:szCs w:val="16"/>
                                    </w:rPr>
                                    <w:t>M</w:t>
                                  </w:r>
                                </w:p>
                              </w:tc>
                              <w:tc>
                                <w:tcPr>
                                  <w:tcW w:w="0" w:type="auto"/>
                                  <w:tcBorders>
                                    <w:top w:val="nil"/>
                                    <w:left w:val="nil"/>
                                    <w:bottom w:val="single" w:sz="8" w:space="0" w:color="FFFFFF"/>
                                    <w:right w:val="single" w:sz="8" w:space="0" w:color="FFFFFF"/>
                                  </w:tcBorders>
                                  <w:noWrap/>
                                  <w:tcMar>
                                    <w:top w:w="0" w:type="dxa"/>
                                    <w:left w:w="108" w:type="dxa"/>
                                    <w:bottom w:w="0" w:type="dxa"/>
                                    <w:right w:w="108" w:type="dxa"/>
                                  </w:tcMar>
                                  <w:hideMark/>
                                </w:tcPr>
                                <w:p w14:paraId="77DECD53" w14:textId="77777777" w:rsidR="007012DC" w:rsidRPr="00474518" w:rsidRDefault="007012DC" w:rsidP="007012DC">
                                  <w:pPr>
                                    <w:spacing w:line="80" w:lineRule="atLeast"/>
                                  </w:pPr>
                                  <w:r w:rsidRPr="00474518">
                                    <w:rPr>
                                      <w:rFonts w:ascii="Verdana" w:hAnsi="Verdana"/>
                                      <w:sz w:val="16"/>
                                      <w:szCs w:val="16"/>
                                    </w:rPr>
                                    <w:t>403.999.7687</w:t>
                                  </w:r>
                                </w:p>
                              </w:tc>
                              <w:tc>
                                <w:tcPr>
                                  <w:tcW w:w="2430" w:type="dxa"/>
                                  <w:tcBorders>
                                    <w:top w:val="nil"/>
                                    <w:left w:val="nil"/>
                                    <w:bottom w:val="single" w:sz="8" w:space="0" w:color="FFFFFF"/>
                                    <w:right w:val="single" w:sz="8" w:space="0" w:color="FFFFFF"/>
                                  </w:tcBorders>
                                  <w:tcMar>
                                    <w:top w:w="0" w:type="dxa"/>
                                    <w:left w:w="108" w:type="dxa"/>
                                    <w:bottom w:w="0" w:type="dxa"/>
                                    <w:right w:w="108" w:type="dxa"/>
                                  </w:tcMar>
                                  <w:hideMark/>
                                </w:tcPr>
                                <w:p w14:paraId="3977E3A9" w14:textId="77777777" w:rsidR="007012DC" w:rsidRPr="00474518" w:rsidRDefault="007012DC" w:rsidP="007012DC">
                                  <w:pPr>
                                    <w:spacing w:line="80" w:lineRule="atLeast"/>
                                  </w:pPr>
                                  <w:r w:rsidRPr="00474518">
                                    <w:rPr>
                                      <w:rFonts w:ascii="Verdana" w:hAnsi="Verdana"/>
                                      <w:sz w:val="16"/>
                                      <w:szCs w:val="16"/>
                                    </w:rPr>
                                    <w:t>Calgary, AB T2T 0B6</w:t>
                                  </w:r>
                                </w:p>
                              </w:tc>
                            </w:tr>
                            <w:tr w:rsidR="007012DC" w:rsidRPr="00474518" w14:paraId="5FDCCCBB" w14:textId="77777777" w:rsidTr="003511D7">
                              <w:tc>
                                <w:tcPr>
                                  <w:tcW w:w="0" w:type="auto"/>
                                  <w:tcBorders>
                                    <w:top w:val="nil"/>
                                    <w:left w:val="single" w:sz="8" w:space="0" w:color="FFFFFF"/>
                                    <w:bottom w:val="single" w:sz="8" w:space="0" w:color="FFFFFF"/>
                                    <w:right w:val="single" w:sz="8" w:space="0" w:color="FFFFFF"/>
                                  </w:tcBorders>
                                  <w:hideMark/>
                                </w:tcPr>
                                <w:p w14:paraId="21436481" w14:textId="77777777" w:rsidR="007012DC" w:rsidRPr="00474518" w:rsidRDefault="007012DC" w:rsidP="007012DC">
                                  <w:pPr>
                                    <w:rPr>
                                      <w:rFonts w:ascii="Times New Roman" w:eastAsia="Times New Roman" w:hAnsi="Times New Roman" w:cs="Times New Roman"/>
                                      <w:sz w:val="20"/>
                                      <w:szCs w:val="20"/>
                                    </w:rPr>
                                  </w:pPr>
                                </w:p>
                              </w:tc>
                              <w:tc>
                                <w:tcPr>
                                  <w:tcW w:w="1620" w:type="dxa"/>
                                  <w:tcBorders>
                                    <w:top w:val="nil"/>
                                    <w:left w:val="nil"/>
                                    <w:bottom w:val="single" w:sz="8" w:space="0" w:color="FFFFFF"/>
                                    <w:right w:val="single" w:sz="8" w:space="0" w:color="FFFFFF"/>
                                  </w:tcBorders>
                                  <w:tcMar>
                                    <w:top w:w="0" w:type="dxa"/>
                                    <w:left w:w="108" w:type="dxa"/>
                                    <w:bottom w:w="0" w:type="dxa"/>
                                    <w:right w:w="108" w:type="dxa"/>
                                  </w:tcMar>
                                  <w:hideMark/>
                                </w:tcPr>
                                <w:p w14:paraId="31737CDC" w14:textId="77777777" w:rsidR="007012DC" w:rsidRPr="00474518" w:rsidRDefault="007012DC" w:rsidP="007012DC">
                                  <w:pPr>
                                    <w:rPr>
                                      <w:rFonts w:ascii="Times New Roman" w:eastAsia="Times New Roman" w:hAnsi="Times New Roman" w:cs="Times New Roman"/>
                                      <w:sz w:val="20"/>
                                      <w:szCs w:val="20"/>
                                    </w:rPr>
                                  </w:pPr>
                                </w:p>
                              </w:tc>
                              <w:tc>
                                <w:tcPr>
                                  <w:tcW w:w="2430" w:type="dxa"/>
                                  <w:tcBorders>
                                    <w:top w:val="nil"/>
                                    <w:left w:val="nil"/>
                                    <w:bottom w:val="single" w:sz="8" w:space="0" w:color="FFFFFF"/>
                                    <w:right w:val="single" w:sz="8" w:space="0" w:color="FFFFFF"/>
                                  </w:tcBorders>
                                  <w:tcMar>
                                    <w:top w:w="0" w:type="dxa"/>
                                    <w:left w:w="108" w:type="dxa"/>
                                    <w:bottom w:w="0" w:type="dxa"/>
                                    <w:right w:w="108" w:type="dxa"/>
                                  </w:tcMar>
                                  <w:hideMark/>
                                </w:tcPr>
                                <w:p w14:paraId="3689CF27" w14:textId="77777777" w:rsidR="007012DC" w:rsidRPr="00474518" w:rsidRDefault="00FF11DD" w:rsidP="007012DC">
                                  <w:hyperlink r:id="rId11" w:history="1">
                                    <w:r w:rsidR="007012DC" w:rsidRPr="00474518">
                                      <w:rPr>
                                        <w:rStyle w:val="Hyperlink"/>
                                        <w:rFonts w:ascii="Verdana" w:hAnsi="Verdana"/>
                                        <w:sz w:val="16"/>
                                        <w:szCs w:val="16"/>
                                      </w:rPr>
                                      <w:t>www.toolepeet.com</w:t>
                                    </w:r>
                                  </w:hyperlink>
                                </w:p>
                              </w:tc>
                            </w:tr>
                          </w:tbl>
                          <w:p w14:paraId="34A6F94D" w14:textId="77777777" w:rsidR="007012DC" w:rsidRPr="00474518" w:rsidRDefault="007012DC" w:rsidP="007012DC">
                            <w:r w:rsidRPr="00474518">
                              <w:rPr>
                                <w:color w:val="FFFFFF"/>
                              </w:rPr>
                              <w:t> </w:t>
                            </w:r>
                          </w:p>
                          <w:p w14:paraId="1310B862" w14:textId="317E7FC7" w:rsidR="007012DC" w:rsidRDefault="007012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775E7" id="_x0000_t202" coordsize="21600,21600" o:spt="202" path="m,l,21600r21600,l21600,xe">
                <v:stroke joinstyle="miter"/>
                <v:path gradientshapeok="t" o:connecttype="rect"/>
              </v:shapetype>
              <v:shape id="Text Box 2" o:spid="_x0000_s1026" type="#_x0000_t202" style="position:absolute;margin-left:234.6pt;margin-top:1.15pt;width:22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zDIw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">
                <v:textbox style="mso-fit-shape-to-text:t">
                  <w:txbxContent>
                    <w:p w14:paraId="1635020C" w14:textId="5CF8C23E" w:rsidR="007012DC" w:rsidRDefault="007012DC"/>
                    <w:tbl>
                      <w:tblPr>
                        <w:tblW w:w="0" w:type="auto"/>
                        <w:tblCellMar>
                          <w:left w:w="0" w:type="dxa"/>
                          <w:right w:w="0" w:type="dxa"/>
                        </w:tblCellMar>
                        <w:tblLook w:val="04A0" w:firstRow="1" w:lastRow="0" w:firstColumn="1" w:lastColumn="0" w:noHBand="0" w:noVBand="1"/>
                      </w:tblPr>
                      <w:tblGrid>
                        <w:gridCol w:w="234"/>
                        <w:gridCol w:w="1540"/>
                        <w:gridCol w:w="2347"/>
                      </w:tblGrid>
                      <w:tr w:rsidR="007012DC" w:rsidRPr="00474518" w14:paraId="5A687612" w14:textId="77777777" w:rsidTr="003511D7">
                        <w:tc>
                          <w:tcPr>
                            <w:tcW w:w="0" w:type="auto"/>
                            <w:tcBorders>
                              <w:top w:val="single" w:sz="8" w:space="0" w:color="FFFFFF"/>
                              <w:left w:val="single" w:sz="8" w:space="0" w:color="FFFFFF"/>
                              <w:bottom w:val="single" w:sz="8" w:space="0" w:color="FFFFFF"/>
                              <w:right w:val="single" w:sz="8" w:space="0" w:color="FFFFFF"/>
                            </w:tcBorders>
                            <w:hideMark/>
                          </w:tcPr>
                          <w:p w14:paraId="0A9C3172" w14:textId="77777777" w:rsidR="007012DC" w:rsidRPr="00474518" w:rsidRDefault="007012DC" w:rsidP="007012DC">
                            <w:r w:rsidRPr="00474518">
                              <w:rPr>
                                <w:rFonts w:ascii="Verdana" w:hAnsi="Verdana"/>
                                <w:b/>
                                <w:bCs/>
                                <w:color w:val="A5CE4D"/>
                                <w:sz w:val="16"/>
                                <w:szCs w:val="16"/>
                              </w:rPr>
                              <w:t>TF</w:t>
                            </w:r>
                          </w:p>
                        </w:tc>
                        <w:tc>
                          <w:tcPr>
                            <w:tcW w:w="162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14:paraId="2521A6E7" w14:textId="77777777" w:rsidR="007012DC" w:rsidRPr="00474518" w:rsidRDefault="007012DC" w:rsidP="007012DC">
                            <w:r w:rsidRPr="00474518">
                              <w:rPr>
                                <w:rFonts w:ascii="Verdana" w:hAnsi="Verdana"/>
                                <w:sz w:val="16"/>
                                <w:szCs w:val="16"/>
                              </w:rPr>
                              <w:t>1.888.838.6653</w:t>
                            </w:r>
                          </w:p>
                        </w:tc>
                        <w:tc>
                          <w:tcPr>
                            <w:tcW w:w="243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14:paraId="170CA025" w14:textId="77777777" w:rsidR="007012DC" w:rsidRPr="00474518" w:rsidRDefault="00FF11DD" w:rsidP="007012DC">
                            <w:hyperlink r:id="rId12" w:history="1">
                              <w:r w:rsidR="007012DC" w:rsidRPr="00474518">
                                <w:rPr>
                                  <w:rStyle w:val="Hyperlink"/>
                                  <w:rFonts w:ascii="Verdana" w:hAnsi="Verdana"/>
                                  <w:sz w:val="16"/>
                                  <w:szCs w:val="16"/>
                                </w:rPr>
                                <w:t>athomson@toolepeet.com</w:t>
                              </w:r>
                            </w:hyperlink>
                          </w:p>
                        </w:tc>
                      </w:tr>
                      <w:tr w:rsidR="007012DC" w:rsidRPr="00474518" w14:paraId="48C40E50" w14:textId="77777777" w:rsidTr="003511D7">
                        <w:tc>
                          <w:tcPr>
                            <w:tcW w:w="0" w:type="auto"/>
                            <w:tcBorders>
                              <w:top w:val="nil"/>
                              <w:left w:val="single" w:sz="8" w:space="0" w:color="FFFFFF"/>
                              <w:bottom w:val="single" w:sz="8" w:space="0" w:color="FFFFFF"/>
                              <w:right w:val="single" w:sz="8" w:space="0" w:color="FFFFFF"/>
                            </w:tcBorders>
                            <w:hideMark/>
                          </w:tcPr>
                          <w:p w14:paraId="74866714" w14:textId="77777777" w:rsidR="007012DC" w:rsidRPr="00474518" w:rsidRDefault="007012DC" w:rsidP="007012DC">
                            <w:r w:rsidRPr="00474518">
                              <w:rPr>
                                <w:rFonts w:ascii="Verdana" w:hAnsi="Verdana"/>
                                <w:b/>
                                <w:bCs/>
                                <w:color w:val="A5CE4D"/>
                                <w:sz w:val="16"/>
                                <w:szCs w:val="16"/>
                              </w:rPr>
                              <w:t>T</w:t>
                            </w:r>
                          </w:p>
                        </w:tc>
                        <w:tc>
                          <w:tcPr>
                            <w:tcW w:w="1620" w:type="dxa"/>
                            <w:tcBorders>
                              <w:top w:val="nil"/>
                              <w:left w:val="nil"/>
                              <w:bottom w:val="single" w:sz="8" w:space="0" w:color="FFFFFF"/>
                              <w:right w:val="single" w:sz="8" w:space="0" w:color="FFFFFF"/>
                            </w:tcBorders>
                            <w:tcMar>
                              <w:top w:w="0" w:type="dxa"/>
                              <w:left w:w="108" w:type="dxa"/>
                              <w:bottom w:w="0" w:type="dxa"/>
                              <w:right w:w="108" w:type="dxa"/>
                            </w:tcMar>
                            <w:hideMark/>
                          </w:tcPr>
                          <w:p w14:paraId="632D6299" w14:textId="77777777" w:rsidR="007012DC" w:rsidRPr="00474518" w:rsidRDefault="007012DC" w:rsidP="007012DC">
                            <w:r w:rsidRPr="00474518">
                              <w:rPr>
                                <w:rFonts w:ascii="Verdana" w:hAnsi="Verdana"/>
                                <w:sz w:val="16"/>
                                <w:szCs w:val="16"/>
                              </w:rPr>
                              <w:t>403.209.5447</w:t>
                            </w:r>
                          </w:p>
                        </w:tc>
                        <w:tc>
                          <w:tcPr>
                            <w:tcW w:w="2430" w:type="dxa"/>
                            <w:tcBorders>
                              <w:top w:val="nil"/>
                              <w:left w:val="nil"/>
                              <w:bottom w:val="single" w:sz="8" w:space="0" w:color="FFFFFF"/>
                              <w:right w:val="single" w:sz="8" w:space="0" w:color="FFFFFF"/>
                            </w:tcBorders>
                            <w:tcMar>
                              <w:top w:w="0" w:type="dxa"/>
                              <w:left w:w="108" w:type="dxa"/>
                              <w:bottom w:w="0" w:type="dxa"/>
                              <w:right w:w="108" w:type="dxa"/>
                            </w:tcMar>
                            <w:hideMark/>
                          </w:tcPr>
                          <w:p w14:paraId="5F2C7CFE" w14:textId="77777777" w:rsidR="007012DC" w:rsidRPr="00474518" w:rsidRDefault="007012DC" w:rsidP="007012DC">
                            <w:r w:rsidRPr="00474518">
                              <w:rPr>
                                <w:rFonts w:ascii="Verdana" w:hAnsi="Verdana"/>
                                <w:sz w:val="16"/>
                                <w:szCs w:val="16"/>
                              </w:rPr>
                              <w:t>1135 - 17 Avenue S.W.</w:t>
                            </w:r>
                          </w:p>
                        </w:tc>
                      </w:tr>
                      <w:tr w:rsidR="007012DC" w:rsidRPr="00474518" w14:paraId="4765A3A2" w14:textId="77777777" w:rsidTr="003511D7">
                        <w:trPr>
                          <w:trHeight w:val="80"/>
                        </w:trPr>
                        <w:tc>
                          <w:tcPr>
                            <w:tcW w:w="0" w:type="auto"/>
                            <w:tcBorders>
                              <w:top w:val="nil"/>
                              <w:left w:val="single" w:sz="8" w:space="0" w:color="FFFFFF"/>
                              <w:bottom w:val="single" w:sz="8" w:space="0" w:color="FFFFFF"/>
                              <w:right w:val="single" w:sz="8" w:space="0" w:color="FFFFFF"/>
                            </w:tcBorders>
                            <w:hideMark/>
                          </w:tcPr>
                          <w:p w14:paraId="2465FE70" w14:textId="77777777" w:rsidR="007012DC" w:rsidRPr="00474518" w:rsidRDefault="007012DC" w:rsidP="007012DC">
                            <w:pPr>
                              <w:spacing w:line="80" w:lineRule="atLeast"/>
                            </w:pPr>
                            <w:r w:rsidRPr="00474518">
                              <w:rPr>
                                <w:rFonts w:ascii="Verdana" w:hAnsi="Verdana"/>
                                <w:b/>
                                <w:bCs/>
                                <w:color w:val="A5CE4D"/>
                                <w:sz w:val="16"/>
                                <w:szCs w:val="16"/>
                              </w:rPr>
                              <w:t>M</w:t>
                            </w:r>
                          </w:p>
                        </w:tc>
                        <w:tc>
                          <w:tcPr>
                            <w:tcW w:w="0" w:type="auto"/>
                            <w:tcBorders>
                              <w:top w:val="nil"/>
                              <w:left w:val="nil"/>
                              <w:bottom w:val="single" w:sz="8" w:space="0" w:color="FFFFFF"/>
                              <w:right w:val="single" w:sz="8" w:space="0" w:color="FFFFFF"/>
                            </w:tcBorders>
                            <w:noWrap/>
                            <w:tcMar>
                              <w:top w:w="0" w:type="dxa"/>
                              <w:left w:w="108" w:type="dxa"/>
                              <w:bottom w:w="0" w:type="dxa"/>
                              <w:right w:w="108" w:type="dxa"/>
                            </w:tcMar>
                            <w:hideMark/>
                          </w:tcPr>
                          <w:p w14:paraId="77DECD53" w14:textId="77777777" w:rsidR="007012DC" w:rsidRPr="00474518" w:rsidRDefault="007012DC" w:rsidP="007012DC">
                            <w:pPr>
                              <w:spacing w:line="80" w:lineRule="atLeast"/>
                            </w:pPr>
                            <w:r w:rsidRPr="00474518">
                              <w:rPr>
                                <w:rFonts w:ascii="Verdana" w:hAnsi="Verdana"/>
                                <w:sz w:val="16"/>
                                <w:szCs w:val="16"/>
                              </w:rPr>
                              <w:t>403.999.7687</w:t>
                            </w:r>
                          </w:p>
                        </w:tc>
                        <w:tc>
                          <w:tcPr>
                            <w:tcW w:w="2430" w:type="dxa"/>
                            <w:tcBorders>
                              <w:top w:val="nil"/>
                              <w:left w:val="nil"/>
                              <w:bottom w:val="single" w:sz="8" w:space="0" w:color="FFFFFF"/>
                              <w:right w:val="single" w:sz="8" w:space="0" w:color="FFFFFF"/>
                            </w:tcBorders>
                            <w:tcMar>
                              <w:top w:w="0" w:type="dxa"/>
                              <w:left w:w="108" w:type="dxa"/>
                              <w:bottom w:w="0" w:type="dxa"/>
                              <w:right w:w="108" w:type="dxa"/>
                            </w:tcMar>
                            <w:hideMark/>
                          </w:tcPr>
                          <w:p w14:paraId="3977E3A9" w14:textId="77777777" w:rsidR="007012DC" w:rsidRPr="00474518" w:rsidRDefault="007012DC" w:rsidP="007012DC">
                            <w:pPr>
                              <w:spacing w:line="80" w:lineRule="atLeast"/>
                            </w:pPr>
                            <w:r w:rsidRPr="00474518">
                              <w:rPr>
                                <w:rFonts w:ascii="Verdana" w:hAnsi="Verdana"/>
                                <w:sz w:val="16"/>
                                <w:szCs w:val="16"/>
                              </w:rPr>
                              <w:t>Calgary, AB T2T 0B6</w:t>
                            </w:r>
                          </w:p>
                        </w:tc>
                      </w:tr>
                      <w:tr w:rsidR="007012DC" w:rsidRPr="00474518" w14:paraId="5FDCCCBB" w14:textId="77777777" w:rsidTr="003511D7">
                        <w:tc>
                          <w:tcPr>
                            <w:tcW w:w="0" w:type="auto"/>
                            <w:tcBorders>
                              <w:top w:val="nil"/>
                              <w:left w:val="single" w:sz="8" w:space="0" w:color="FFFFFF"/>
                              <w:bottom w:val="single" w:sz="8" w:space="0" w:color="FFFFFF"/>
                              <w:right w:val="single" w:sz="8" w:space="0" w:color="FFFFFF"/>
                            </w:tcBorders>
                            <w:hideMark/>
                          </w:tcPr>
                          <w:p w14:paraId="21436481" w14:textId="77777777" w:rsidR="007012DC" w:rsidRPr="00474518" w:rsidRDefault="007012DC" w:rsidP="007012DC">
                            <w:pPr>
                              <w:rPr>
                                <w:rFonts w:ascii="Times New Roman" w:eastAsia="Times New Roman" w:hAnsi="Times New Roman" w:cs="Times New Roman"/>
                                <w:sz w:val="20"/>
                                <w:szCs w:val="20"/>
                              </w:rPr>
                            </w:pPr>
                          </w:p>
                        </w:tc>
                        <w:tc>
                          <w:tcPr>
                            <w:tcW w:w="1620" w:type="dxa"/>
                            <w:tcBorders>
                              <w:top w:val="nil"/>
                              <w:left w:val="nil"/>
                              <w:bottom w:val="single" w:sz="8" w:space="0" w:color="FFFFFF"/>
                              <w:right w:val="single" w:sz="8" w:space="0" w:color="FFFFFF"/>
                            </w:tcBorders>
                            <w:tcMar>
                              <w:top w:w="0" w:type="dxa"/>
                              <w:left w:w="108" w:type="dxa"/>
                              <w:bottom w:w="0" w:type="dxa"/>
                              <w:right w:w="108" w:type="dxa"/>
                            </w:tcMar>
                            <w:hideMark/>
                          </w:tcPr>
                          <w:p w14:paraId="31737CDC" w14:textId="77777777" w:rsidR="007012DC" w:rsidRPr="00474518" w:rsidRDefault="007012DC" w:rsidP="007012DC">
                            <w:pPr>
                              <w:rPr>
                                <w:rFonts w:ascii="Times New Roman" w:eastAsia="Times New Roman" w:hAnsi="Times New Roman" w:cs="Times New Roman"/>
                                <w:sz w:val="20"/>
                                <w:szCs w:val="20"/>
                              </w:rPr>
                            </w:pPr>
                          </w:p>
                        </w:tc>
                        <w:tc>
                          <w:tcPr>
                            <w:tcW w:w="2430" w:type="dxa"/>
                            <w:tcBorders>
                              <w:top w:val="nil"/>
                              <w:left w:val="nil"/>
                              <w:bottom w:val="single" w:sz="8" w:space="0" w:color="FFFFFF"/>
                              <w:right w:val="single" w:sz="8" w:space="0" w:color="FFFFFF"/>
                            </w:tcBorders>
                            <w:tcMar>
                              <w:top w:w="0" w:type="dxa"/>
                              <w:left w:w="108" w:type="dxa"/>
                              <w:bottom w:w="0" w:type="dxa"/>
                              <w:right w:w="108" w:type="dxa"/>
                            </w:tcMar>
                            <w:hideMark/>
                          </w:tcPr>
                          <w:p w14:paraId="3689CF27" w14:textId="77777777" w:rsidR="007012DC" w:rsidRPr="00474518" w:rsidRDefault="00FF11DD" w:rsidP="007012DC">
                            <w:hyperlink r:id="rId13" w:history="1">
                              <w:r w:rsidR="007012DC" w:rsidRPr="00474518">
                                <w:rPr>
                                  <w:rStyle w:val="Hyperlink"/>
                                  <w:rFonts w:ascii="Verdana" w:hAnsi="Verdana"/>
                                  <w:sz w:val="16"/>
                                  <w:szCs w:val="16"/>
                                </w:rPr>
                                <w:t>www.toolepeet.com</w:t>
                              </w:r>
                            </w:hyperlink>
                          </w:p>
                        </w:tc>
                      </w:tr>
                    </w:tbl>
                    <w:p w14:paraId="34A6F94D" w14:textId="77777777" w:rsidR="007012DC" w:rsidRPr="00474518" w:rsidRDefault="007012DC" w:rsidP="007012DC">
                      <w:r w:rsidRPr="00474518">
                        <w:rPr>
                          <w:color w:val="FFFFFF"/>
                        </w:rPr>
                        <w:t> </w:t>
                      </w:r>
                    </w:p>
                    <w:p w14:paraId="1310B862" w14:textId="317E7FC7" w:rsidR="007012DC" w:rsidRDefault="007012DC"/>
                  </w:txbxContent>
                </v:textbox>
                <w10:wrap type="square"/>
              </v:shape>
            </w:pict>
          </mc:Fallback>
        </mc:AlternateContent>
      </w:r>
      <w:r w:rsidR="008368FB" w:rsidRPr="00474518">
        <w:rPr>
          <w:color w:val="1F497D"/>
        </w:rPr>
        <w:t>Stay safe</w:t>
      </w:r>
      <w:r w:rsidR="00853C70" w:rsidRPr="00474518">
        <w:rPr>
          <w:color w:val="1F497D"/>
        </w:rPr>
        <w:t>,</w:t>
      </w:r>
      <w:r w:rsidR="008368FB" w:rsidRPr="00474518">
        <w:rPr>
          <w:color w:val="1F497D"/>
        </w:rPr>
        <w:t xml:space="preserve"> everyone.</w:t>
      </w:r>
    </w:p>
    <w:p w14:paraId="685315F0" w14:textId="08F35E74" w:rsidR="008368FB" w:rsidRPr="00474518" w:rsidRDefault="008368FB" w:rsidP="008368FB">
      <w:r w:rsidRPr="00474518">
        <w:rPr>
          <w:color w:val="1F497D"/>
        </w:rPr>
        <w:t> </w:t>
      </w:r>
    </w:p>
    <w:p w14:paraId="567D94CB" w14:textId="408F160B" w:rsidR="008368FB" w:rsidRPr="00474518" w:rsidRDefault="008368FB" w:rsidP="008368FB">
      <w:r w:rsidRPr="00474518">
        <w:rPr>
          <w:color w:val="1F497D"/>
        </w:rPr>
        <w:t xml:space="preserve">The </w:t>
      </w:r>
      <w:proofErr w:type="spellStart"/>
      <w:r w:rsidRPr="00474518">
        <w:rPr>
          <w:color w:val="1F497D"/>
        </w:rPr>
        <w:t>RealProSure</w:t>
      </w:r>
      <w:proofErr w:type="spellEnd"/>
      <w:r w:rsidRPr="00474518">
        <w:rPr>
          <w:color w:val="1F497D"/>
        </w:rPr>
        <w:t xml:space="preserve"> team</w:t>
      </w:r>
    </w:p>
    <w:p w14:paraId="258592A1" w14:textId="7AFD740D" w:rsidR="008368FB" w:rsidRPr="00474518" w:rsidRDefault="008368FB" w:rsidP="008368FB">
      <w:r w:rsidRPr="00474518">
        <w:rPr>
          <w:rFonts w:ascii="Verdana" w:hAnsi="Verdana"/>
          <w:b/>
          <w:bCs/>
          <w:color w:val="5B6770"/>
          <w:sz w:val="18"/>
          <w:szCs w:val="18"/>
        </w:rPr>
        <w:t>Adam D Thomson, CIP</w:t>
      </w:r>
    </w:p>
    <w:p w14:paraId="1056EE14" w14:textId="7ACE292E" w:rsidR="008368FB" w:rsidRPr="00474518" w:rsidRDefault="008368FB" w:rsidP="008368FB">
      <w:r w:rsidRPr="00474518">
        <w:rPr>
          <w:rFonts w:ascii="Verdana" w:hAnsi="Verdana"/>
          <w:b/>
          <w:bCs/>
          <w:color w:val="A5CE4D"/>
          <w:sz w:val="16"/>
          <w:szCs w:val="16"/>
        </w:rPr>
        <w:t>Account Executive</w:t>
      </w:r>
    </w:p>
    <w:p w14:paraId="71F82298" w14:textId="6C6C9486" w:rsidR="008368FB" w:rsidRPr="00474518" w:rsidRDefault="008368FB" w:rsidP="008368FB">
      <w:r w:rsidRPr="00474518">
        <w:rPr>
          <w:rFonts w:ascii="Verdana" w:hAnsi="Verdana"/>
          <w:b/>
          <w:bCs/>
          <w:sz w:val="18"/>
          <w:szCs w:val="18"/>
        </w:rPr>
        <w:t> </w:t>
      </w:r>
    </w:p>
    <w:p w14:paraId="57541D4D" w14:textId="5B1416E2" w:rsidR="008368FB" w:rsidRPr="00474518" w:rsidRDefault="008368FB" w:rsidP="008368FB">
      <w:r w:rsidRPr="00474518">
        <w:rPr>
          <w:rFonts w:ascii="Verdana" w:hAnsi="Verdana"/>
          <w:b/>
          <w:bCs/>
          <w:color w:val="5B6770"/>
          <w:sz w:val="18"/>
          <w:szCs w:val="18"/>
        </w:rPr>
        <w:t xml:space="preserve">Toole Peet Insurance </w:t>
      </w:r>
    </w:p>
    <w:p w14:paraId="25957F27" w14:textId="340CB4BD" w:rsidR="004462C9" w:rsidRDefault="008368FB">
      <w:r w:rsidRPr="00474518">
        <w:rPr>
          <w:rFonts w:ascii="Verdana" w:hAnsi="Verdana"/>
          <w:sz w:val="16"/>
          <w:szCs w:val="16"/>
        </w:rPr>
        <w:t> </w:t>
      </w:r>
    </w:p>
    <w:sectPr w:rsidR="004462C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4360" w14:textId="77777777" w:rsidR="00B87923" w:rsidRDefault="00B87923" w:rsidP="00B87923">
      <w:r>
        <w:separator/>
      </w:r>
    </w:p>
  </w:endnote>
  <w:endnote w:type="continuationSeparator" w:id="0">
    <w:p w14:paraId="6B0B42ED" w14:textId="77777777" w:rsidR="00B87923" w:rsidRDefault="00B87923" w:rsidP="00B8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1544" w14:textId="571C93C2" w:rsidR="00B87923" w:rsidRDefault="00B87923" w:rsidP="00B87923">
    <w:pPr>
      <w:pStyle w:val="Footer"/>
      <w:jc w:val="right"/>
    </w:pPr>
    <w:r>
      <w:t>March 27, 2020</w:t>
    </w:r>
  </w:p>
  <w:p w14:paraId="27D3CE32" w14:textId="77777777" w:rsidR="00B87923" w:rsidRDefault="00B8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275E" w14:textId="77777777" w:rsidR="00B87923" w:rsidRDefault="00B87923" w:rsidP="00B87923">
      <w:r>
        <w:separator/>
      </w:r>
    </w:p>
  </w:footnote>
  <w:footnote w:type="continuationSeparator" w:id="0">
    <w:p w14:paraId="4E527F13" w14:textId="77777777" w:rsidR="00B87923" w:rsidRDefault="00B87923" w:rsidP="00B8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55C7"/>
    <w:multiLevelType w:val="hybridMultilevel"/>
    <w:tmpl w:val="069BA99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2C80693"/>
    <w:multiLevelType w:val="multilevel"/>
    <w:tmpl w:val="B71A0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B09CD"/>
    <w:multiLevelType w:val="multilevel"/>
    <w:tmpl w:val="5128D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FB"/>
    <w:rsid w:val="00040ED4"/>
    <w:rsid w:val="001345FB"/>
    <w:rsid w:val="004462C9"/>
    <w:rsid w:val="00474518"/>
    <w:rsid w:val="007012DC"/>
    <w:rsid w:val="008368FB"/>
    <w:rsid w:val="00853C70"/>
    <w:rsid w:val="008C0210"/>
    <w:rsid w:val="009634E1"/>
    <w:rsid w:val="00964C1D"/>
    <w:rsid w:val="00AC1A97"/>
    <w:rsid w:val="00B87923"/>
    <w:rsid w:val="00D40B10"/>
    <w:rsid w:val="00FF1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3A47"/>
  <w15:docId w15:val="{756933D4-E205-4BD6-8206-7A8BADEC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F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8FB"/>
    <w:rPr>
      <w:color w:val="0000FF"/>
      <w:u w:val="single"/>
    </w:rPr>
  </w:style>
  <w:style w:type="paragraph" w:styleId="NormalWeb">
    <w:name w:val="Normal (Web)"/>
    <w:basedOn w:val="Normal"/>
    <w:uiPriority w:val="99"/>
    <w:semiHidden/>
    <w:unhideWhenUsed/>
    <w:rsid w:val="008368FB"/>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8368FB"/>
  </w:style>
  <w:style w:type="character" w:customStyle="1" w:styleId="PlainTextChar">
    <w:name w:val="Plain Text Char"/>
    <w:basedOn w:val="DefaultParagraphFont"/>
    <w:link w:val="PlainText"/>
    <w:uiPriority w:val="99"/>
    <w:semiHidden/>
    <w:rsid w:val="008368FB"/>
    <w:rPr>
      <w:rFonts w:ascii="Calibri" w:hAnsi="Calibri" w:cs="Calibri"/>
      <w:lang w:eastAsia="en-CA"/>
    </w:rPr>
  </w:style>
  <w:style w:type="paragraph" w:styleId="BalloonText">
    <w:name w:val="Balloon Text"/>
    <w:basedOn w:val="Normal"/>
    <w:link w:val="BalloonTextChar"/>
    <w:uiPriority w:val="99"/>
    <w:semiHidden/>
    <w:unhideWhenUsed/>
    <w:rsid w:val="008368FB"/>
    <w:rPr>
      <w:rFonts w:ascii="Tahoma" w:hAnsi="Tahoma" w:cs="Tahoma"/>
      <w:sz w:val="16"/>
      <w:szCs w:val="16"/>
    </w:rPr>
  </w:style>
  <w:style w:type="character" w:customStyle="1" w:styleId="BalloonTextChar">
    <w:name w:val="Balloon Text Char"/>
    <w:basedOn w:val="DefaultParagraphFont"/>
    <w:link w:val="BalloonText"/>
    <w:uiPriority w:val="99"/>
    <w:semiHidden/>
    <w:rsid w:val="008368FB"/>
    <w:rPr>
      <w:rFonts w:ascii="Tahoma" w:hAnsi="Tahoma" w:cs="Tahoma"/>
      <w:sz w:val="16"/>
      <w:szCs w:val="16"/>
      <w:lang w:eastAsia="en-CA"/>
    </w:rPr>
  </w:style>
  <w:style w:type="paragraph" w:styleId="Header">
    <w:name w:val="header"/>
    <w:basedOn w:val="Normal"/>
    <w:link w:val="HeaderChar"/>
    <w:uiPriority w:val="99"/>
    <w:unhideWhenUsed/>
    <w:rsid w:val="00B87923"/>
    <w:pPr>
      <w:tabs>
        <w:tab w:val="center" w:pos="4680"/>
        <w:tab w:val="right" w:pos="9360"/>
      </w:tabs>
    </w:pPr>
  </w:style>
  <w:style w:type="character" w:customStyle="1" w:styleId="HeaderChar">
    <w:name w:val="Header Char"/>
    <w:basedOn w:val="DefaultParagraphFont"/>
    <w:link w:val="Header"/>
    <w:uiPriority w:val="99"/>
    <w:rsid w:val="00B87923"/>
    <w:rPr>
      <w:rFonts w:ascii="Calibri" w:hAnsi="Calibri" w:cs="Calibri"/>
      <w:lang w:eastAsia="en-CA"/>
    </w:rPr>
  </w:style>
  <w:style w:type="paragraph" w:styleId="Footer">
    <w:name w:val="footer"/>
    <w:basedOn w:val="Normal"/>
    <w:link w:val="FooterChar"/>
    <w:uiPriority w:val="99"/>
    <w:unhideWhenUsed/>
    <w:rsid w:val="00B87923"/>
    <w:pPr>
      <w:tabs>
        <w:tab w:val="center" w:pos="4680"/>
        <w:tab w:val="right" w:pos="9360"/>
      </w:tabs>
    </w:pPr>
  </w:style>
  <w:style w:type="character" w:customStyle="1" w:styleId="FooterChar">
    <w:name w:val="Footer Char"/>
    <w:basedOn w:val="DefaultParagraphFont"/>
    <w:link w:val="Footer"/>
    <w:uiPriority w:val="99"/>
    <w:rsid w:val="00B87923"/>
    <w:rPr>
      <w:rFonts w:ascii="Calibri" w:hAnsi="Calibri" w:cs="Calibri"/>
      <w:lang w:eastAsia="en-CA"/>
    </w:rPr>
  </w:style>
  <w:style w:type="paragraph" w:customStyle="1" w:styleId="Default">
    <w:name w:val="Default"/>
    <w:basedOn w:val="Normal"/>
    <w:rsid w:val="00AC1A97"/>
    <w:pPr>
      <w:autoSpaceDE w:val="0"/>
      <w:autoSpaceDN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54619">
      <w:bodyDiv w:val="1"/>
      <w:marLeft w:val="0"/>
      <w:marRight w:val="0"/>
      <w:marTop w:val="0"/>
      <w:marBottom w:val="0"/>
      <w:divBdr>
        <w:top w:val="none" w:sz="0" w:space="0" w:color="auto"/>
        <w:left w:val="none" w:sz="0" w:space="0" w:color="auto"/>
        <w:bottom w:val="none" w:sz="0" w:space="0" w:color="auto"/>
        <w:right w:val="none" w:sz="0" w:space="0" w:color="auto"/>
      </w:divBdr>
    </w:div>
    <w:div w:id="17526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olepe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homson@toolepe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olepe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homson@toolepeet.com" TargetMode="External"/><Relationship Id="rId4" Type="http://schemas.openxmlformats.org/officeDocument/2006/relationships/settings" Target="settings.xml"/><Relationship Id="rId9" Type="http://schemas.openxmlformats.org/officeDocument/2006/relationships/hyperlink" Target="http://www.ibc.ca/on/business/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71D0-8F94-42E9-84DA-8BD9B13F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Stewart</cp:lastModifiedBy>
  <cp:revision>2</cp:revision>
  <cp:lastPrinted>2020-03-27T18:41:00Z</cp:lastPrinted>
  <dcterms:created xsi:type="dcterms:W3CDTF">2020-04-08T14:03:00Z</dcterms:created>
  <dcterms:modified xsi:type="dcterms:W3CDTF">2020-04-08T14:03:00Z</dcterms:modified>
</cp:coreProperties>
</file>